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12 vom 5. Mai 2017</w:t>
      </w:r>
    </w:p>
    <w:p>
      <w:r>
        <w:t>VS Kantonsgericht, 2017-05-05, FR</w:t>
      </w:r>
    </w:p>
    <w:p>
      <w:r>
        <w:rPr>
          <w:b/>
        </w:rPr>
        <w:t xml:space="preserve">Quelle: </w:t>
      </w:r>
      <w:r>
        <w:t>https://mcp.opencaselaw.ch/entscheid/vs_gerichte_P1 14 12</w:t>
      </w:r>
    </w:p>
    <w:p>
      <w:r>
        <w:t>FR: VS_GERICHTE P1 14 12 du 5 mai 2017</w:t>
      </w:r>
    </w:p>
    <w:p>
      <w:r>
        <w:t>IT: VS_GERICHTE P1 14 12 del 5 maggio 2017</w:t>
      </w:r>
    </w:p>
    <w:p>
      <w:pPr>
        <w:pStyle w:val="Heading2"/>
      </w:pPr>
      <w:r>
        <w:t>Regeste</w:t>
      </w:r>
    </w:p>
    <w:p>
      <w:r>
        <w:t>Par arrêt du 05 mai 2017 (6B_810/2016), le Tribunal fédéral a déclaré irrecevable le recours en matière pénale interjeté par U_________, V _________ SA, W _________ SA et X _________contre ce jugement. P1 14 12 JUGEMENT DU 6 JUIN 2016 Tribunal cantonal du Valais Le Juge de la Cour pénale II Bertrand Dayer, juge unique ; Ludovic Rossier, greffier en la cause Ministère public, appelé, représenté par M_________ et 1. U_________ 2. V_________ SA 3.</w:t>
      </w:r>
    </w:p>
    <w:p>
      <w:pPr>
        <w:pStyle w:val="Heading2"/>
      </w:pPr>
      <w:r>
        <w:t>Erwägungen</w:t>
      </w:r>
    </w:p>
    <w:p>
      <w:r>
        <w:rPr>
          <w:b/>
        </w:rPr>
        <w:t>E. 3</w:t>
      </w:r>
    </w:p>
    <w:p>
      <w:r>
        <w:t>Les parties plaignantes et appelantes dénoncent une violation de l’art. 47 aLB, en tant que la juridiction inférieure a acquitté les deux prévenus de ce chef d’accusation.</w:t>
      </w:r>
    </w:p>
    <w:p>
      <w:r>
        <w:rPr>
          <w:b/>
        </w:rPr>
        <w:t>E. 3.1</w:t>
      </w:r>
    </w:p>
    <w:p>
      <w:r>
        <w:t>Aux termes de l’art. 47 ch. 1 aLB – dans sa teneur en vigueur jusqu’au 31 décembre 2006 et applicable à la présente cause pour les motifs pertinents exposés dans le jugement déféré (absence de "lex mitior" ; cf. consid. 5a, p. 16 s.) –, celui qui en sa qualité de membre d’un organe, d’employé, de mandataire ou de liquidateur de la banque, de chargé d’enquête ou de délégué à l’assainissement nommé par la Commission des banques, ou encore de membre d’un organe ou d’employé d’une institution de révision agréée, aura révélé un secret à lui confié ou dont il avait eu connaissance à raison de sa charge ou de son emploi (1er par.), sera puni de l’emprisonnement pour 6 mois au plus ou d’une amende de 50’000 fr. au plus.</w:t>
      </w:r>
    </w:p>
    <w:p>
      <w:r>
        <w:rPr>
          <w:b/>
        </w:rPr>
        <w:t>E. 3.1.1</w:t>
      </w:r>
    </w:p>
    <w:p>
      <w:r>
        <w:t>D’un point de vue personnel, le devoir de garder le secret bancaire incombe à toutes les personnes actives au sein d’une banque ou travaillant pour elle en vertu d’un contrat (Bodmer/Kleiner/Lutz, Kommentar zum Schweizerischen Bankengesetz, Zürich 2015, n. 360 ad art. 47 LB). Selon l’énumération (exhaustive) de la loi, il vise notamment les employés de banque ainsi que les membres de ses organes, ces derniers étant déterminés au premier rang d’après les dispositions du droit privé, de sorte que la direction est également concernée (Stratenwerth, in Basler Kommentar, Bankengesetz, 2. Aufl. 2014, n. 5-6 ad art. 47 LB et la réf. à Böckli, Schweizer Aktienrecht, 4. Aufl. 2009, § 13, n. 560a).</w:t>
      </w:r>
    </w:p>
    <w:p>
      <w:r>
        <w:rPr>
          <w:b/>
        </w:rPr>
        <w:t>E. 3.1.2</w:t>
      </w:r>
    </w:p>
    <w:p>
      <w:r>
        <w:t>Le devoir de préserver le secret bancaire trouve ses racines en droit privé : il résulte prioritairement de la relation contractuelle nouée entre le client et la banque (cf. art. 398 al. 1 CO en liaison avec l’art. 321a al. 4 CO). Les relations économiques d’un particulier relèvent par ailleurs de sa sphère privée, et bénéficient de la protection tirée des droits de la personnalité en général (cf. art. 28 CC et 13 Cst. féd.) (Stratenwerth, op. cit., n. 1 ad art. 47 LB ; cf. ég. Bodmer/Kleiner/Lutz, op. cit., n. 4-5 ad art. 47 LB ; Emch/Renz/Arpagaus, Das Schweizerische Bankgeschäft, 7. Aufl. 2011, n. 458-459, p. 159 s.). L’art. 47 aLB ou LB ne règle pas le secret bancaire en tant que tel, mais</w:t>
      </w:r>
    </w:p>
    <w:p>
      <w:r>
        <w:t>- 25 - prévoit la sanction pénale en cas de violation de ce secret (cf. ATF 141 III 119 consid. 5.1 ; 137 II 431 consid. 2.1.1 ; arrêt 4A_340/2015 du 21 décembre 2015 consid. 3.2.1, destiné à publication aux ATF). Le détenteur du secret est punissable lorsqu’il révèle des faits soumis à son obligation de discrétion ; dans cette mesure, les éléments constitutifs de l’infraction tirée de l’art. 47 aLB ou LB se recoupent avec ceux de violation du secret de fonction au sens de l’art. 320 CP (Stratenwerth, op. cit., n. 12 ad art. 47 LB), respectivement de violation du secret professionnel selon l’art. 321 CP (cf. Bodmer/Kleiner/Lutz, op. cit., n. 1-2 ad art. 47 LB). Les informations protégées doivent ainsi constituer un secret, par quoi l’on entend les faits qui ne sont connus ou accessibles qu'à un cercle restreint de personnes, que celui qui en est maître veut garder confidentiels et autant qu'il y ait un intérêt légitime (ATF 127 IV 122 consid. 1 ; arrêt 6B_599/2015 du 25 février 2016 consid. 2.2.1 [ad art. 320 CP] ; Stratenwerth/Bommer, Schweizerisches Strafrecht, Straftaten gegen Gemeininteressen, 7. Aufl. 2013, n. 5 ad § 61, p. 454). La protection du secret s’étend également aux informations que les banques apprennent sur des tiers dans le cadre de leurs activités bancaires, par exemple lorsqu’elles reçoivent les virements de clients d’autres banques (Stratenwerth, op. cit., n. 13 ad art. 47 LB ; cf. ég. Rappo, Le secret bancaire, thèse Lausanne, Berne 2002, op. cit., n. 239-240, p. 239 s. et les réf.). D’après la doctrine, l’obligation de discrétion du banquier porte sur tout ce qui lui est confié, de même que sur tout ce qu’il apprend dans l’exercice de sa profession. Inversement, la divulgation d’informations concernant des faits de notoriété publique (par exemple publiés dans la presse) ou qui ont été reçues ou apprises en dehors et indépendamment de l’activité professionnelle ne tombent pas sous le coup de l’art. 47 aLB ou LB (Aubert et al., Le secret bancaire suisse, 3e éd. 1995, p. 91 s. ; Stratenwerth, op. cit., n. 14 ad art. 47 LB ; Bodmer/Kleiner/Lutz, op. cit., n. 8 ad art. 47 LB). L’auteur doit bien avoir appris le secret en raison de sa charge ou de sa fonction ; un lien lointain ou motivé par le hasard ne suffit pas à créer un rattachement relevant (Zani, Enquête pénale en milieu bancaire : obstacles et pratiques liées au secret bancaire, in Augsburger-Bucheli/Perrin [éd.], Les enjeux juridiques du secret bancaire, Genève/Zurich/Bâle 2011, p. 105 ss, spéc. p. 108). En suivant cette analyse, toute information communiquée au banquier, non en sa qualité de professionnel, mais dans un contexte privé (relations familiales, connaissances, autre activité) demeure en dehors du secret bancaire. De même, les propos que le banquier aurait recueilli par une source d’informations accessibles à n’importe qui (médias, registres publics,</w:t>
      </w:r>
    </w:p>
    <w:p>
      <w:r>
        <w:t>- 26 - jugements de tribunaux, notoriété publique), est déjà notoire et ne relève donc plus de la sphère privée (cf. infra, consid. 3.1.3). Il ne faut toutefois pas en conclure qu’un fait devient notoire dès le moment où des tiers, non dépositaires du secret, en ont également connaissance. En aucun cas, le banquier n’est autorisé à confirmer une rumeur ou appuyer des suppositions, même si elles sont exactes. Un secret est également violé si la révélation apporte quelque chose de plus à la notoriété, par exemple en lui donnant un caractère indiscutable (Rappo, op. cit., n. 265, p. 119 s. et les réf.; cf. ég. Aubert et al., op. cit., p. 92). Dans sa jurisprudence publiée, le Tribunal fédéral a opté pour une portée restrictive du secret bancaire, limitant celui-ci à certains rapports d’affaires entre la banque et son client qualifiés de "traditionnels" (Rappo, op. cit., n. 274, p. 122 s.). Ainsi, dans un arrêt relativement ancien mais faisant toujours autorité, la Haute Cour a retenu qu’il n’existait pas de relation bancaire au sens propre entre une banque qui vendait des métaux précieux, en tant que grossiste, et celui qui les achetait ; il n’existait entre eux qu’un rapport d’affaires, auquel le secret bancaire ne s’appliquait pas (ATF 119 IV 175 consid. 3). A titre illustratif, ne concernent pas davantage des relations bancaires proprement dites – et ne tombent donc pas sous le coup de l’art. 47 aLB ou LB –, les rapports commerciaux entretenus par une banque avec des fournisseurs ou des entrepreneurs (Bodmer/Kleiner/Lutz, op. cit., n. 8 ad art. 47 LB). Il en va de même lorsque la banque intervient comme bailleresse ou locataire de bureaux, ou encore comme employeur (Kleiner, Anmerkung zum Entscheid der Anklagekammer des Bundesgerichtes vom 16.8.1993 [BGE 119 IV 175], in RSDA 1994, p. 97 in fine). Une information est protégée par le secret bancaire, à moins que le bénéficiaire ne consente à sa divulgation. Cette autre condition, de nature subjective, trouve sa source principale à l’art. 28 al. 2 CC. Ainsi, bien que l’art. 47 aLB ou LB ne précise pas que le consentement de l’intéressé rend la divulgation licite, cette lacune ne constitue pas un silence qualifié (Rappo, op. cit., n. 277, p. 124 ; cf. ég. Stratenwerth, op. cit., n. 25 ad art. 47 LB). Le consentement du client n’est pas un fait justificatif excluant l’illicéité, mais bien un élément même de la typicité de l’infraction (Aubert et al., op. cit., p. 106). En d’autres termes, l’infraction n’est pas constituée si le client autorise la divulgation, de sorte que l’absence de consentement est un élément constitutif de l’art. 47 aLB ou LB. Cette interprétation se justifie, car la loi sur les banques ne contient pas une définition de la violation du secret bancaire, mais un renvoi au droit privé (cf. supra, consid. 3.1.2 in initio) ; l’art. 47 aLB ou LB se limite ainsi à sanctionner la violation du secret telle qu’elle est déterminée par le droit civil. Or, en droit de la personnalité, il n’y</w:t>
      </w:r>
    </w:p>
    <w:p>
      <w:r>
        <w:t>- 27 - a pas de violation de la sphère privée si le bénéficiaire du secret consent à sa divulgation. Au demeurant, toutes les infractions pénales relevant d’une violation du domaine privé perdent leur typicité dès le moment où l’intéressé donne son accord (cf. art. 179quater al. 1, 186 et 321 ch. 2 CP). De par son accord, l’intéressé exerce sa liberté et prive ainsi la collectivité de toute qualité pour contrôler l’usage qu’il en fait (Graven, L’infraction pénale punissable, 2e éd. 1995, p. 65 s.). Plus précisément, comme le secret se définit comme un fait non notoire que l’intéressé veut garder confidentiel, l’accord donné à sa révélation retire à cette information son caractère secret (Rappo, op. cit., n. 279, p. 124 s, et n. 697, p. 272). Encore faut-il que le consentement soit efficace selon les règles générales du droit, et n’ait pas été obtenu par le recours à la tromperie, à la menace ou à la contrainte (Stratenwerth, op. cit., n. 27 ad art. 47 LB et les réf.).</w:t>
      </w:r>
    </w:p>
    <w:p>
      <w:r>
        <w:rPr>
          <w:b/>
        </w:rPr>
        <w:t>E. 3.1.3</w:t>
      </w:r>
    </w:p>
    <w:p>
      <w:r>
        <w:t>Aux termes de l'art. 970 al. 1 CC, dans sa teneur en vigueur depuis le 1er janvier 2005, celui qui fait valoir un intérêt a le droit de consulter le registre foncier ou de s'en faire délivrer des extraits. L'alinéa 2 prévoit un accès libre à certaines informations du grand livre, à savoir la désignation de l'immeuble et son descriptif (ch. 1), le nom et l'identité du propriétaire (ch. 2) ainsi que le type de propriété et la date d'acquisition (ch. 3). Enfin, l’alinéa 3 dispose que le Conseil fédéral détermine quelles autres indications, en matière de servitudes, de charges foncières et de mentions, peuvent être mises à la disposition du public sans justification d'un intérêt particulier (1re phr.) ; ce faisant, il tient compte de la protection de la personnalité (2nde phr.). L’art. 970 CC est également applicable aux institutions cantonales de publicité foncière au sens des art. 46 ss Tit. final CC (cf. ATF 97 I 694 consid. 6b/aa ; Steinauer, Les droits réels, t. I, 5e éd. 2012, n. 579b, p. 217 ; Schmid, in Basler Kommentar, Zivilgesetzbuch II, 5. Aufl. 2015, n. 8 ad art. 47 Tit. fin. CC ; Bänziger-Compagnoni, Die Öffentlichkeit des Grundbuches – de lege late – rechtsvergleichend – de lege ferenda, Diss., Zürich 1993, p. 26 s.), tel le cadastre en Valais (cf. RVJ 1995 p. 230 consid. 6a/cc). A l'art. 106a aORF (RS 211.432.1) – introduit par le ch. I de l'ordonnance du 11 mars 2005 sur le registre foncier (RO 2005 p. 1343 s.) entrée en vigueur le 1er avril 2005 et désormais remplacée par la nouvelle ordonnance sur le registre foncier du 23 septembre 2011 (cf. art. 26 nORF, en vigueur depuis le 1er janvier 2012) –, le Conseil fédéral a fait usage de la possibilité qui lui a été conférée à l'art. 970 al. 3 CC de déterminer les autres indications pouvant être mises à la disposition du public sans justification d'un intérêt particulier : hormis les données prévues à l'art. 970 al. 2 CC</w:t>
      </w:r>
    </w:p>
    <w:p>
      <w:r>
        <w:t>- 28 - (let. a), peuvent ainsi être consultées librement les servitudes et les charges foncières (let. b), les mentions, à l'exception des blocages du registre foncier de l'art. 80 al. 6 aORF et du droit cantonal, des restrictions du droit d'aliéner et à la propriété en matière d'encouragement à la propriété du logement, ainsi que certaines restrictions à la propriété fondées sur le droit cantonal et ayant un caractère de droit de gage (let. c) (sur l’ensemble de la question, cf. ATF 132 III 603 consid. 4.2). Que ce soit en vertu de l’ancienne ou de la nouvelle mouture de l’ORF, l’exclusion de l’accès sans condition – au sens de l’art. 970 al. 2 et 3 CC – aux données relatives aux charges hypothécaires d’un immeuble demeure de mise, et tend à assurer la protection des droits de la personnalité (Schmid, op. cit., n. 9d ad art. 970 CC). La consultation du registre foncier fondée sur l’art. 970 al. 1 CC n’est ouverte, sauf consentement du propriétaire concerné, qu’à la personne qui justifie d’un intérêt digne de protection (Steinauer, op. cit., n. 584, p. 219). Le requérant doit faire valoir un lien de proximité qualifié ("qualifizierte Bezugsnähe") avec la partie du registre foncier qu’il entend consulter ; un tel lien se présente lorsque le requérant dispose d’un intérêt personnel, actuel et concret, qu’il ne pourrait satisfaire sans la consultation du registre foncier (Schmid, op. cit., n. 15-16 ad art. 970 CC ; Rey, Zur Öffentlichkeit des Grundbuchs, in RNRF 1984, p. 73 ss, spéc. p. 80 s.). L'intérêt peut être de droit ou de fait (économique, scientifique, personnel ou familial). Il ne suffit pas, toutefois, de rendre vraisemblable n'importe quel intérêt (celui d'un simple curieux, par exemple) (ATF 132 III 603 consid. 4.3.1 ; 126 III 512 consid. 3a ; arrêt 5A_152/2014 du 18 mars 2014 consid. 2). Ainsi, ont notamment un intérêt juridique légitime le propriétaire ou le titulaire d’un droit réel limité qui se renseignent sur le contenu et l’objet de leur droit (ATF 82 II 555 consid. 7). Ont quant à eux un intérêt économique digne de protection la personne qui est au bénéfice d’un titre d’acquisition d’un droit réel, celle qui envisage sérieusement d’acheter un immeuble (Bänziger-Compagnoni, op. cit., p. 81 ; RVJ 2011 p. 190 consid. 2b/bb in fine), le locataire qui veut contrôler que l’immeuble ne produit pas un rendement excessif au propriétaire - bailleur (arrêt 6S.163/2000 du 10 mai 2000 consid. 3c), l’entrepreneur qui entend faire inscrire une hypothèque légale selon l’art. 837 al. 1 CC (ATF 112 Ib 482 consid. 3b ; arrêt 5A_227/2007 du 11 janvier 2008 consid. 2.5, in RNRF 2011, p. 107 ss ; pour une casuistique, cf. Steinauer, op. cit., n. 584a, p. 220 s.). Par ailleurs, cet intérêt doit pouvoir prétendre à la primauté sur l'intérêt opposé du propriétaire foncier concerné (ATF 132 III 603 consid. 4.3.1) ; en d’autres termes, l’Office du registre foncier doit, dans sa décision, procéder à une pesée des intérêts afin de déterminer si la demande de consultation est en soi justifiée et dans quelle mesure il peut y être donné suite (cf. Schmid, op. cit., n. 19 et 30 ad art. 970</w:t>
      </w:r>
    </w:p>
    <w:p>
      <w:r>
        <w:t>- 29 - CC ; Rey, op. cit., p. 81 ss). A cet égard, il convient de rappeler qu’en vertu de l’art. 970 al. 4 CC, nul ne peut se prévaloir de ce qu’il n’a pas connu une inscription portée au registre foncier. Entre cette fiction de connaissance et le droit de consultation du registre foncier, il existe selon des auteurs de doctrine un lien d’interdépendance : la fiction ne se justifierait dès lors que si les conditions posées pour rendre vraisemblable l’intérêt à la consultation du registre foncier sont peu élevées (Bänziger-Compagnoni, op. cit., p. 33 et la réf. à Homburger, Zürcher Kommentar, n. 13 ad art. 970 CC). En principe, l’intérêt de la personne qui veut consulter le registre est examiné de cas en cas. Mais lorsque le registre est tenu au moyen de l’informatique, les cantons peuvent autoriser d’une manière générale la consultation du registre par certaines catégories de personnes dont la profession ou les tâches qu’elles exercent montrent qu’elles ont un intérêt digne de protection à la consultation du registre (cf. art. 949a al. 2 ch. 5 CC). Ainsi, l’art. 28 nORF, en vigueur depuis le 1er janvier 2012 – et non directement applicable à la présente cause puisque la demande de consultation est largement antérieure (i.e. 10 février 2005) –, institue ce droit notamment en faveur des banques, de la Poste suisse, des caisses de pensions, des assurances et des institutions reconnues par la Confédération conformément à l'art. 76 al. 1 let. a LDFR, mais seulement "s'agissant des données dont elles ont besoin pour accomplir leurs tâches dans le domaine hypothécaire" (cf. al. 1 let. b) (Steinauer, op. cit., n. 585-585a, p. 221). Enfin, la consultation du registre foncier ne doit être autorisée que dans la mesure strictement nécessaire à la satisfaction de l'intérêt considéré (ATF 132 III 603 consid. 4.3.1 in fine ; 126 III 512 consid. 3a). Ainsi, en cas de délivrance d’extraits, ceux-ci peuvent comprendre l’ensemble des données ayant un effet juridique relatives à un immeuble ou seulement certaines données, auquel cas le document doit préciser qu’il s’agit d’un "extrait partiel" (Steinauer, op. cit., n. 586-588, p. 222 et art. 31 ss nORF, respectivement 105 aORF).</w:t>
      </w:r>
    </w:p>
    <w:p>
      <w:r>
        <w:rPr>
          <w:b/>
        </w:rPr>
        <w:t>E. 3.1.4</w:t>
      </w:r>
    </w:p>
    <w:p>
      <w:r>
        <w:t>Sur le plan subjectif, l’infraction de violation du secret bancaire peut être commise tant intentionnellement (cf. art. 47 ch. 1 aLB) que par négligence (cf. art. 47 ch. 2 aLB). L’intention présuppose la connaissance du fait que les informations divulguées ou recherchées sont soumises au secret bancaire (Stratenwerth, op. cit., n. 18 ad art. 47 LB). L’auteur devait ainsi connaître le caractère secret de l’information et savoir qu’il l’avait apprise en raison de son activité professionnelle. A cet égard, il suffit qu’il ait accepté cette éventualité (cf. dol éventuel, art. 12 al. 2, 2nde phr., CP) pour que l’élément intentionnel soit réalisé. Une erreur sur les faits ou une erreur de droit restent</w:t>
      </w:r>
    </w:p>
    <w:p>
      <w:r>
        <w:t>- 30 - envisageables (Rappo, op. cit, n. 698, p. 273). Pour que le banquier agisse par négligence, il suffit qu’il viole fautivement un devoir de prudence même sans se rendre compte des conséquences de son acte (cf. art. 12 al. 3 CP). Il commet par exemple une négligence s’il laisse sans surveillance des dossiers à la portée de tiers ou s’il ne vérifie pas l’identité de la personne à qui il fournit des renseignements, ou encore s’il commet une erreur dans l’envoi du courrier (Aubert et al., op. cit., p. 110 et les réf. sous note de pied 274).</w:t>
      </w:r>
    </w:p>
    <w:p>
      <w:r>
        <w:rPr>
          <w:b/>
        </w:rPr>
        <w:t>E. 3.2.1</w:t>
      </w:r>
    </w:p>
    <w:p>
      <w:r>
        <w:t>En l’espèce, il n’est pas disputé que les deux prévenus et appelants étaient, en février 2005, employés par A_________. L’obligation de préserver le secret bancaire, telle que prévue à l’art. 47 aLB, leur est donc opposable. Encore faut-il que l’information secrète divulguée à des tiers, consistant in casu en les déclarations des charges relatives aux immeubles appartenant à U_________ et à ses sociétés (X_________ SA et W_________ SA) et qui ne sont pas librement accessibles à tout un chacun (cf. art. 970 al. 2 et 3 CC), ait été portée à la connaissance des prévenus à raison de leur activité dans le domaine bancaire. A cet égard, il a été arrêté en fait que les informations résultant des déclarations des charges obtenues – puis diffusées via le "Mémorandum" 2005 – par A_________ l’avaient été en sa qualité de propriétaire de la grande majorité des parcelles visées par le "PAZ D_________", désireuse de les vendre. La Banque A_________ n’est donc pas intervenue dans le cadre de son activité bancaire traditionnelle, mais comme propriétaire d’immeubles, à l’instar de n’importe quel privé. Pour les motifs déjà exposés en détail dans le présent jugement (cf. supra, consid. 2.2.4.1), il importe peu que l’ancien conservateur du registre foncier, dont l’Office avait remis sans broncher les déclarations de charge et admis implicitement que A_________ disposait d’un intérêt digne de protection à l’obtention de ces documents (cf. art. 970 al. 1 CC), ait par la suite changé son fusil d’épaule lors de sa déclaration devant le magistrat instructeur plus de 6 ½ ans après les faits incriminés. Le droit d’accès étendu à certaines données du registre foncier, tel que prévu en faveur notamment des banques, n’était pas ancré dans la législation, voire la pratique de l’Office de Q_________, à l’époque des faits ; de surcroît, il ne l’est depuis l’entrée en vigueur de la nouvelle ORF que lorsqu’il s’agit pour l’établissement bancaire d’accomplir ses tâches dans le domaine hypothécaire (cf. supra, consid. 3.1.3). En définitive, les données obtenues par les prévenus au sujet des hypothèques grevant les immeubles voisins de ceux appartenant à la Banque A_________, puis diffusées à une dizaine de tiers via la remise du "Mémorandum"</w:t>
      </w:r>
    </w:p>
    <w:p>
      <w:r>
        <w:t>- 31 - 2005, n’étaient pas soumises au secret bancaire, d’où l’inapplicabilité de l’art. 47 aLB pour ce premier motif. En effet, l’un des éléments constitutifs objectifs de cette disposition pénale fait incontestablement défaut. Mais il y a plus. Pour les raisons déjà exposées en détail au considérant 2.2.4.2 auquel il convient de se référer, il a été arrêté qu’en tout état de cause, il ne peut être reproché aux deux prévenus et appelants d’avoir adopté un comportement intentionnel, même sous la forme du dol éventuel (cf. art. 12 al. 2, 2nde phr., CP). Dès lors que les extraits et les déclarations des charges demandés leur ont été transmis sans la moindre discussion par les autorités compétentes – soit le teneur de cadastre pour le premier document et l’Office du registre foncier pour le second, dans une commune comme E_________ où le registre foncier fédéral n’était toujours pas introduit en 2005 –, on voit mal comment les deux prévenus, qui ne sont pas juristes de formation, auraient pu et dû se rendre compte que A_________ ne pouvait accéder aux données hypothécaire des biens- fonds appartenant à U_________ et consorts que moyennant la démonstration d’un intérêt particulier (cf. art. 970 al. 1 CC), et que ces informations constituaient de ce fait une donnée potentiellement secrète, ne pouvant être divulguée aux destinataires du "Mémorandum" 2005. Partant, le grief de violation de l’art. 47 ch. 1 aLB, mal fondé, doit être rejeté, et la libération des deux prévenus de ce chef d’accusation confirmée en appel.</w:t>
      </w:r>
    </w:p>
    <w:p>
      <w:r>
        <w:rPr>
          <w:b/>
        </w:rPr>
        <w:t>E. 3.2.2</w:t>
      </w:r>
    </w:p>
    <w:p>
      <w:r>
        <w:t>L’acte d’accusation ne retenait à l’encontre des deux prévenus que la violation de l’art. 47 al. 1 LB (recte : 47 ch. 1 aLB), soit l’infraction intentionnelle, et non celle par négligence, réprimée à l’art. 47 al./ch. 2 [a]LB. Du reste, l’accusation n’indiquait nullement, comme cela est nécessaire en présence d’une infraction commise par négligence, toutes les circonstances tendant à démontrer en quoi les auteurs ont manqué de diligence et comment le résultat était prévisible et évitable (Moreillon/Parein-Reymond, Code de procédure pénale suisse, Petit commentaire, Bâle 2013, n. 10 ad art. 325 CPP ; Schubarth, in Commentaire romand, Code de procédure pénale suisse, Bâle 2011, n. 21 ad art. 325 CPP ; cf. ég. ATF 116 Ia 455 consid. 3a/cc). Dans ces circonstances, le tribunal de première instance – qui n’est pas une autorité d’accusation et n’a pas à compléter l’état de fait soumis par le Ministère public (cf. arrêt 6B_633/2015 du 12 janvier 2016 consid. 1.4.1, in SJZ 2016, p. 159) –, n’avait même pas à examiner cette question (jugement entrepris, consid. 5d, p. 19 in fine), quand bien même son raisonnement, à savoir que le fait que l’action pénale était</w:t>
      </w:r>
    </w:p>
    <w:p>
      <w:r>
        <w:t>- 32 - prescrite s’agissant d’une contravention pour laquelle le délai de prescription est de 3 ans (cf. art. 47 ch. 2 aLB en liaison avec les art. 103 et 109 CP), est conforme au droit fédéral.</w:t>
      </w:r>
    </w:p>
    <w:p>
      <w:r>
        <w:rPr>
          <w:b/>
        </w:rPr>
        <w:t>E. 3.3</w:t>
      </w:r>
    </w:p>
    <w:p>
      <w:r>
        <w:t>; cf. ég. Krauskopf/Bittel, Der Adhäsionsprozess aus der Sicht des Haftpflichts- rechts, in Kren Kostkiewicz et al. [Hrsg.], Schnittstellen zwischen Zivilprozess und Strafverfahren, Bern 2014, p. 21 ss, spéc. p. 37 s.).</w:t>
      </w:r>
    </w:p>
    <w:p>
      <w:r>
        <w:rPr>
          <w:b/>
        </w:rPr>
        <w:t>E. 4</w:t>
      </w:r>
    </w:p>
    <w:p>
      <w:r>
        <w:t>Dans leur appel, les parties plaignantes ont également conclu à ce que leurs prétentions civiles soient traitées dans leur principe et au surplus renvoyées à la voie civile.</w:t>
      </w:r>
    </w:p>
    <w:p>
      <w:r>
        <w:rPr>
          <w:b/>
        </w:rPr>
        <w:t>E. 4.1.1</w:t>
      </w:r>
    </w:p>
    <w:p>
      <w:r>
        <w:t>L'art. 126 al. 1 let. b CPP prévoit que le juge pénal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in FF 2006 1057 ss, spéc. p. 1153 ; arrêts 6B_1117/2013 du 6 mai 2014 consid. 3.2 ; 6B_75/2014 du 30 septembre 2014 consid. 2.4.2 ; pour une solution différente en règle générale sous l’empire des anciens codes cantonaux, cf. arrêt 6B_81/2009 du 30 juin 2009 consid. 2 [extinction de l’action pénale] et la réf. à Piquerez, Traité de procédure pénale, 2e éd. 2006, n. 1042, p. 663 s.) ; à défaut, il doit renvoyer la partie plaignante à agir par la voie civile (cf. art. 126 al. 2 let. d CPP). Cette cautèle s’explique notamment du fait qu’un acquittement peut découler de la mise en œuvre du principe "in dubio pro reo", l’accusation se voyant reprocher d’avoir soumis un état de fait lacunaire : obliger le juge à se prononcer dans ces conditions sur les conclusions civiles aboutirait bien souvent – par application de l’art. 8 CC – à un déboutement de la partie plaignante sur le plan civil (Jeandin/Matz, in Commentaire romand, Code de procédure pénale suisse, Bâle 2011, n. 10 ad art. 126 CPP). En revanche, rien n’empêche le juge de statuer sur les prétentions civiles si l’état de fait est complet et permet au magistrat d’examiner l’ensemble des conditions prévues par la norme générale de l’art. 41 CO. On rappellera qu’un jugement d’acquittement n’empêche nullement une condamnation du prévenu sur le plan civil compte tenu du principe général selon lequel le juge pénal ne lie pas le juge civil (cf. art. 53 CO), applicable à l’action civile jointe (Jeandin/Matz, op. cit., n. 11 ad art. 126 CPP).</w:t>
      </w:r>
    </w:p>
    <w:p>
      <w:r>
        <w:rPr>
          <w:b/>
        </w:rPr>
        <w:t>E. 4.1.2</w:t>
      </w:r>
    </w:p>
    <w:p>
      <w:r>
        <w:t>L’art. 126 al. 3 CPP – qui reprend la réglementation de l’art. 38 al. 3 aLAVI (Schmid, Schweizerische Strafprozessordnung, Praxiskommentar, 2. Aufl. 2014, n. 15 ad art. 126 CPP) –, comporte une exception au principe de l’al. 1er faisant injonction au juge de trancher les conclusions civiles : même lorsque les conditions d’un jugement</w:t>
      </w:r>
    </w:p>
    <w:p>
      <w:r>
        <w:t>- 33 - obligatoire sont remplies, le juge peut en effet se limiter à traiter les conclusions civiles dans leur principe seulement et pour le surplus renvoyer la partie plaignante à agir par la voie civile, dans la mesure où un jugement complet exigerait un travail disproportionné (Jeandin/Matz, op. cit., n. 24 ad art. 126 CPP ; pour les rapports avec l’art. 38 aLAVI, cf. arrêt 6B_640/2013 du 4 novembre 2013 consid. 2.4.1). Cette notion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fixation de l’indemnité et réduction de celle-ci (Jeandin/Matz, op. cit., n. 27 ad art. 126 CPP ; cf. ég. Schmid, op. cit., n. 16 ad art. 126 CPP). Il peut en aller ainsi des prétentions du lésé impliquant le calcul d’une indemnité pour perte de soutien (art. 45 al. 3 CO) ou pour perte de gain (art. 46 al. 1 CO). En revanche, le dommage consécutif à une infraction contre le patrimoine pourra bien souvent être établi par pièces, ce qui ne justifie pas l’application de l’art. 126 al. 3 CPP ; il en va de même des prétentions en réparation du tort moral (art. 47 CO) (Jeandin/Matz, op. cit., n. 29 ad art. 126 CPP ; Schmid, op. cit., n. 16 in fine ad art. 126 CPP). Le critère décisif pour décider du caractère disproportionné ou non du travail réside dans le temps nécessaire à la résolution des prétentions civiles ; plus celui-ci est important, plus le caractère disproportionné du travail à fournir est donné (ATF 123 IV 78 consid. 2b [aLAVI] ; Weishaupt, Die verfahrensrechtlichen Bestimmungen des Opferhilfegesetzes [OHG], Diss. Zürich 1998, p. 247). Le juge pénal dispose d’un large pouvoir d’appréciation pour déterminer si cette condition est remplie (arrêts 6B_640/2013 du 4 novembre 2013 consid. 2.4.1 ; 6B_89/2009 du 29 octobre 2009 consid. 4.3). Le prononcé par lequel le tribunal se limite à traiter les conclusions civiles dans leur principe, tout en renvoyant la partie plaignante à agir par la voie civile pour le surplus, revêt un caractère constatatoire dans la mesure où il tranche sur l’existence de conditions relatives à la responsabilité civile. Les questions ainsi résolues concerneront la plupart du temps l’existence d’un acte illicite, celle d’une faute, dans certains cas le lien de causalité prévalant entre les actes reprochés au prévenu (cf. infra) et l’atteinte subie par la partie plaignante, voire encore la détermination des parts de responsabilité entre plusieurs auteurs telles qu’établies par le juge pénal. Contrairement à ce qui prévaut lorsque le tribunal renvoie la partie plaignante à agir par la voie civile en vertu de l’art. 126 al. 2 CPP, l’art. 53 CO ne trouve pas application (Jeandin/Matz, op. cit., n. 34-35 ad art. 126 CPP). Un tel jugement déploie autorité de chose jugée et lie le</w:t>
      </w:r>
    </w:p>
    <w:p>
      <w:r>
        <w:t>- 34 - juge civil appelé à statuer sur l’ampleur du dommage (ATF 125 IV 153 consid. 2b/aa [aLAVI]), sous réserve d’exceptions, en particulier lorsqu’il s’agit d’examiner l’existence du lien de causalité, dans la mesure où le degré de preuve que doit observer le juge pénal peut être différent de celui prévu en droit de la responsabilité civile (cf. arrêts 4A_76/2014 du 19 juin 2014 consid. 3.2.1 ; 4C.327/2004 du 22 décembre 2004 consid.</w:t>
      </w:r>
    </w:p>
    <w:p>
      <w:r>
        <w:rPr>
          <w:b/>
        </w:rPr>
        <w:t>E. 4.2</w:t>
      </w:r>
    </w:p>
    <w:p>
      <w:r>
        <w:t>Tout comme devant la juridiction précédente, les parties plaignantes ont sollicité en instance d’appel que leurs prétentions civiles – dont elles n’ont pas précisé en quoi elles consistaient –, soient traitées dans leur principe et au surplus renvoyées à la voie civile, conformément à l’art. 126 al. 3 CPP. Si cette disposition consacre une exception à l’injonction faite au juge pénal de statuer sur les conclusions civiles (cf. supra, consid. 4.1.2), il n’en demeure pas moins que les autres conditions d’application de l’art. 126 al. 1 CPP doivent être réunies. En particulier, en cas d’acquittement des prévenus sous l’angle pénal – comme in casu –, l’admission des prétentions des parties plaignantes dans leur principe présuppose que l'état de fait ait été suffisamment établi (cf. art. 126 al. 1 let. b CPP). Comme il n’apparaît pas en l’occurrence, au vu des constatations de fait nécessaires à l’examen du volet pénal, que les comportements imputés aux prévenus puissent clairement constituer un acte illicite et fautif au regard des art. 41 ss CO, 28 ss CC ou 2 ss LCD (cf. infra, consid. 5), l’autorité d’appel n’est pas en mesure de statuer sur le principe même de l’éventuelle responsabilité civile des prévenus acquittés. Les conditions d’application de l’art. 126 al. 1 let. b en liaison avec l’art. 126 al. 3 CPP n’étant pas réunies, les parties plaignantes ne peuvent qu’être renvoyées à agir par la voie civile (cf. art. 126 al. 2 let. d CPP).</w:t>
      </w:r>
    </w:p>
    <w:p>
      <w:r>
        <w:rPr>
          <w:b/>
        </w:rPr>
        <w:t>E. 5</w:t>
      </w:r>
    </w:p>
    <w:p>
      <w:r>
        <w:t>De leur côté, les prévenus et appelants se plaignent du fait qu’en dépit de leur acquittement, le premier juge a mis les frais à leur charge et ne leur a octroyé aucune indemnité pour les dépenses occasionnées par l'exercice raisonnable de leurs droits de procédure ; ils y voient une transgression des art. 423, 426 al. 2 et 429 al. 1 let. a et 430 al. 1 let. a CPP (cf. appel de Y_________, ch. 3, p. 6 ss ; appel de Z_________, ch. II/2, p. 6 ss).</w:t>
      </w:r>
    </w:p>
    <w:p>
      <w:r>
        <w:rPr>
          <w:b/>
        </w:rPr>
        <w:t>E. 5.1</w:t>
      </w:r>
    </w:p>
    <w:p>
      <w:r>
        <w:t>D’une manière générale, l'art. 423 CPP prévoit que les frais de procédure sont mis à la charge de la Confédération ou du canton qui a conduit la procédure, sauf disposition contraire. Les parties privées (prévenu, partie plaignante) ne peuvent se voir imposer des obligations en matière de frais de procédure et d’indemnités qu’aux</w:t>
      </w:r>
    </w:p>
    <w:p>
      <w:r>
        <w:t>- 35 - conditions prévues aux art. 426 à 436 CPP (Moreillon/Parein-Reymond, op. cit., n. 2 ad art. 423 CPP) (cf. infra, consid. 5.1.1). D’ordinaire, la mise à la charge des frais se juge à l'aune du principe selon lequel celui qui a causé les frais doit les supporter (ATF 138 IV 248 consid. 4.4.1 ; arrêt 6B_53/2013 du 8 juillet 2013 consid. 4.1, non publié aux ATF 139 IV 243).</w:t>
      </w:r>
    </w:p>
    <w:p>
      <w:r>
        <w:rPr>
          <w:b/>
        </w:rPr>
        <w:t>E. 5.1.1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relative aux art. 32 al. 1 Cst. et 6 par. 2 CEDH,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consid. 2d et 2e). Le juge doit fonder son prononcé sur des faits incontestés ou déjà clairement établis (ATF 112 Ia 371 consid. 2a in fine ; cf. ég. Griesser, in Donatsch/Hansjakob/Lieber [Hrsg.], Kommentar zur Schweizerisch- en Strafprozessordnung, 2. Aufl. 2014, n. 10 ad art. 326 CPP et les réf., qui ajoute que l’état de fait doit présenter une "illicéité qualifiée").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(arrêts 6B_87/2012 du 27 avril 2012 consid. 1.2 ; 1B_21/2012 du 27 mars 2012 consid. 2.1 ; 1B_12/2012 du 20 février 2012 consid. 2 et les réf.). Cela reviendrait à infliger à la personne acquittée une sorte de sanction pénale subsidiaire ou pourrait laisser planer le doute sur son innocence, ce qui contreviendrait à l’art. 6 CEDH. De la même manière, le silence du prévenu ne peut justifier une condamnation aux frais, puisque le droit de se taire, plus généralement celui de refuser de déposer, lui est reconnu par l’art. 113 CPP (Chapuis, in Commentaire romand, Code de procédure pénale suisse, Bâle 2011, n. 2 ad art. 426</w:t>
      </w:r>
    </w:p>
    <w:p>
      <w:r>
        <w:t>- 36 - CPP ; cf. ég., s’agissant des déductions pouvant ou non être tirées du refus de répondre, arrêts 6B_695/2012 du 9 avril 2013 consid. 2.2.1 ; 6B_748/2009 du 2 novembre 2009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 116 Ia 162 consid. 2c). Le fait reproché doit constituer une violation claire de la norme de comportement (ATF 119 Ia 332 consid. 1b p. 334 ; 116 Ia 162 consid. 2d p. 171) ; en cas de doute, les frais ne peuvent être mis à la charge du prévenu (Griesser, op. cit., n. 12 ad art. 426 CPP ; cf. déjà Hauser/ Schweri/Hartmann, Schweizerisches Strafprozessrecht, 6. Aufl. 2005, n. 26 ad § 108, p. 566).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 elle est en tout cas exclue lorsque l'autorité est intervenue par excès de zèle, ensuite d'une mauvaise analyse de la situation ou par précipitation (ATF 116 Ia 162 consid. 2c ; arrêt 6B_656/2013 du 22 septembre 2013 consid. 3). En définitive, les frais ne peuvent être mise à la charge du prévenu qu’en cas de comportement gravement fautif de sa part (Moreillon/Parein- Reymond, op. cit., n. 14 in fine ad art. 426 CPP ; Piquerez, op. cit., n. 1138, p. 717). Selon des auteurs de doctrine, la norme de comportement violée doit par ailleurs avoir pour but la protection du bien juridique lésé. La transgression de devoirs contractuels de même que d’obligations purement civiles ne suffit pas, car ceux-ci ne concernent pas la procédure pénale. Ainsi, lorsque l’accusation a été engagée pour un faux dans les titres, commis par l’établissement d’un bilan annuel falsifié, et que le prévenu est acquitté, les frais ne devraient pas être mis à sa charge au motif que les prescriptions comptables de l’art. 662 CO n’ont pas été respectées (sur l’ensemble de la question, cf. Griesser, op. cit., n. 13 ad art. 426 CPP et les réf.).</w:t>
      </w:r>
    </w:p>
    <w:p>
      <w:r>
        <w:rPr>
          <w:b/>
        </w:rPr>
        <w:t>E. 5.1.2</w:t>
      </w:r>
    </w:p>
    <w:p>
      <w:r>
        <w:t>La loi fédérale du 19 décembre 1986 contre la concurrence déloyale (LCD ; RS 241) constitue une norme qui permet à celui qui, par un acte de concurrence déloyale, subit une atteinte dans sa clientèle, son crédit ou sa réputation professionnelle, ses affaires ou ses intérêts économiques en général notamment d'intenter, conformément</w:t>
      </w:r>
    </w:p>
    <w:p>
      <w:r>
        <w:t>- 37 - au code des obligations, une action en réparation du tort moral (art. 9 al. 3 LCD). Les actions basées sur la loi contre la concurrence déloyale s'inscrivent dans la protection générale de la personnalité instituée par l'art. 28 CC (cf. infra, consid. 5.1.3) ; les actions reposant sur cette dernière disposition sont toutefois subsidiaires à celles qui sont fondées sur des lois spéciales, telles singulièrement la LCD (ATF 138 III 337 consid. 6.1 ; 121 III 168 consid. 3b/aa). A teneur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les cas particuliers énoncés aux art. 3 à 8 LCD, mais elle reste applicable pour les hypothèses que ces dispositions ne viseraient pas (ATF 132 III 414 consid. 3.1 ; 131 III 384 consid. 3 ; arrêt 4A_689/2012 du 24 février 2013 consid. 2.4).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 Baudenbacher, Lauterkeitsrecht, Kommentar zum UWG, Basel 2001, n. 3 ad art. 11 LCD). Il suffit que le comportement incriminé exerce une influence sur les relations entre concurrents ou entre fournisseurs et clients, c'est-à-dire qu'il ait un impact sur le marché et la concurrence économique. Autrement dit, le comportement du défendeur doit être dirigé contre le jeu normal de la concurrence et propre à influencer le marché ; il doit objectivement influer sur la concurrence (ATF 131 III 384 consid. 3 ; 126 III 198 consid. 2c/aa). Partant, des organismes de protection des consommateurs, des journalistes ou des entreprises de presse peuvent être actionnés s'ils ne s'en tiennent pas aux règles de la concurrence loyale et donnent sur des tiers des informations inexactes ou fallacieuses (ATF 124 IV 162 consid. 3 ; 123 III 354 consid. 2a ; David/Jacobs, Schwei- zerisches Wettberwerbsrecht, 4. Aufl. 2005, n. 732, p. 192 ; von Büren/Marbach, Im- materialgüter- und Wettbewerbsrecht, 2. Aufl. 2002, n. 882, p. 178 ; sur l’ensemble de la question, cf. arrêt 4C.224/2005 du 12 décembre 2005 consid. 2.2.2).</w:t>
      </w:r>
    </w:p>
    <w:p>
      <w:r>
        <w:rPr>
          <w:b/>
        </w:rPr>
        <w:t>E. 5.1.3.1</w:t>
      </w:r>
    </w:p>
    <w:p>
      <w:r>
        <w:t>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w:t>
      </w:r>
    </w:p>
    <w:p>
      <w:r>
        <w:t>- 38 - 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(arrêt 5A_605/2007 du 4 décembre 2008 consid. 2.1 ; cf. ég. ATF 134 III 193 consid. 4.5). L'honneur dépend ainsi de deux facteurs assez fortement variables : la position sociale de la personne touchée et les conceptions du milieu où elle évolue (arrêt 5C.254/2005 du 20 mars 2006 consid. 2.1 ; Deschenaux/Steinauer, Personnes physiques et tutelles, 4e éd. 2009, n. 558-559, p. 177 s.). Selon la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consid. 6.1 ; 121 III 168 consid. 3a).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127 III 481 consid. 2b/aa ; 126 III 209 consid. 3a in fine ; arrêt 5A_605/2007 précité consid. 2.1). Le mode d'expression (geste, voix, écrit, dessin) est indifférent. Il suffit qu'aux yeux d'un observateur moyen, la considération dont jouit une personne en soit diminuée ; la véracité des faits allégués ou le bien-fondé d'une critique jouent cependant un rôle important pour déterminer si l'atteinte est licite ou non (ATF 103 II 161 consid. 1c ; arrêt 5C.254/2005 précité consid. 2.2 ; Deschenaux/Stein- auer, op. cit., n. 559a, p. 178 s.). La diffusion de faits vrais n'est inadmissible que si les faits en question font partie de la sphère secrète ou privée ou si la personne concernée est rabaissée de manière inadmissible parce que la forme de la description est inutilement blessante (ATF 138 III 641 consid. 4.1.1 [presse] ; arrêt 5A_170/2013 du 3 octobre 2013 consid. 3.4.1).</w:t>
      </w:r>
    </w:p>
    <w:p>
      <w:r>
        <w:rPr>
          <w:b/>
        </w:rPr>
        <w:t>E. 5.1.3.2</w:t>
      </w:r>
    </w:p>
    <w:p>
      <w:r>
        <w:t>En tant que facette de la personnalité, la considération sociale comprend la solvabilité, si bien que l’art. 28 CC protège la personne contre l’atteinte au crédit ("Kreditschädigung") : ainsi en va-t-il de la communication d’une liste de mauvais payeurs à un nombre indéterminé de personnes, ou de l’ouverture de poursuites visant non à recouvrer une créance, mais à nuire à la réputation de la personne poursuivie</w:t>
      </w:r>
    </w:p>
    <w:p>
      <w:r>
        <w:t>- 39 - (Jeandin, in Commentaire romand, Code civil I, Bâle 2009, n. 36 ad art. 28 CC ; Haus- heer/Aebi-Müller, Das Personenrecht des Schweizerischen Zivilgesetzbuches, 3. Aufl. 2012, n. 12.92-12.92a, p. 189 s. ; cf. ég. arrêt 5A_104/2008 du 30 avril 2008 consid. 3.1).</w:t>
      </w:r>
    </w:p>
    <w:p>
      <w:r>
        <w:rPr>
          <w:b/>
        </w:rPr>
        <w:t>E. 5.1.4</w:t>
      </w:r>
    </w:p>
    <w:p>
      <w:r>
        <w:t>Aux termes de l’art. 824 CC, l'hypothèque peut être constituée pour sûreté d'une créance quelconque, actuelle, future ou simplement éventuelle (al. 1) ; l’immeuble grevé peut ne pas appartenir au débiteur (al. 2). L'hypothèque constituée même pour sûreté de créances d'un montant indéterminé ou variable reçoit une case fixe et garde son rang, nonobstant toutes fluctuations de la somme garantie (art. 825 al. 1 CC). La cédule hypothécaire est une créance personnelle garantie par un gage immobilier (art. 842 aCC et art. 842 al. 1 nCC [entré en vigueur le 1er janvier 2012]).). Il s'agit d'un papier-valeur qui incorpore à la fois la créance et le droit de gage immobilier, qui en est l'accessoire (ATF 140 III 180 consid. 5.1). Quant à l’obligation hypothécaire au porteur, elle constitue une reconnaissance de dette émise sous forme de papier-valeur et garantie par une hypothèque (RVJ 1998 p. 150 consid. 3a et les réf.). A la différence toutefois de la cédule hypothécaire, l’obligation hypothécaire n’incorpore que la créance garantie, et non le droit de gage lui-même (Steinauer, Les droits réels, t. III, 4e éd. 2012, n. 2633a, p. 164 ; cf. ég. Dusil, in Büchler/Jakob [Hrsg.], Schweizerisches Zivilgesetzbuch, Kurzkommentar, Basel 2012, n. 5 ad art. 825 CC). La créance incorporée dans la cédule (ou obligation) hypothécaire se juxtapose à la créance garantie en vue d'en faciliter le recouvrement (ATF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(ATF 140 III 180 consid. 5.1.1 ; 136 III 288 consid. 3.1). Le débiteur qui paie la totalité de la dette peut exiger du créancier qu'il lui remette le titre non annulé lorsque la dette contenue dans la cédule hypothécaire sur papier a été intégralement remboursée (cf. art. 873 aCC et 853 nCC). Par suite de paiement, il acquiert les droits accessoires attachés à la créance cédulaire et devient ainsi titulaire – sur son propre immeuble, s’il en est le propriétaire – du gage immobilier qui les garantit (arrêts 5A_549/2014 du 17 décembre 2014 consid. 2.3.2, in SJ 2015 I p. 413 ss ; 4A_70/2013 du 28 mai 2013 consid. 2.3).</w:t>
      </w:r>
    </w:p>
    <w:p>
      <w:r>
        <w:t>- 40 - L’extinction de la créance garantie supprime toute portée matérielle à l’inscription de l’hypothèque au registre foncier. L’hypothèque n’en subsiste pas moins formellement (Steinauer, op. cit., n. 2813, p. 267 ; Dusil, op. cit., n. 1 ad art. 826 CC). Le propriétaire peut, s’il a laissé subsister l’inscription de l’hypothèque malgré l’extinction de la créance garantie, utiliser cette hypothèque pour garantir une nouvelle créance (cf. remploi de l’hypothèque, "Auswechselung der pfandgesicherten Forderung"), moyennant conclusion d’un acte authentique (cf. Steinauer, op. cit., n. 2814, p. 267 s. ; arrêt 5C.13/2002 du 19 mars 2002 consid. 2d, in RNRF 2003, p. 45 ss ; cf. ég. Leeman, Berner Kommentar, n. 12, 15 et 17 ad art. 825 CC). Le remploi de l’hypothèque doit apparaître au registre foncier sous la forme d’un complément aux pièces justificatives concernant l’hypothèque remployée, mais l’inscription de l’hypothèque elle-même n’a pas à être modifiée (Steinauer, op. cit., n. 2814d, p. 269).</w:t>
      </w:r>
    </w:p>
    <w:p>
      <w:r>
        <w:rPr>
          <w:b/>
        </w:rPr>
        <w:t>E. 5.2.1</w:t>
      </w:r>
    </w:p>
    <w:p>
      <w:r>
        <w:t>Bien qu’ayant acquitté les deux prévenus du chef d’accusation de violation du secret bancaire (art. 47 aLB), la juridiction inférieure a mis les frais à leur charge en application de l’art. 426 al. 2 CPP, estimant qu’il résultait des actes de la cause que les intéressés avaient "violé à tout le moins une norme juridique protégeant les intérêts des [parties] plaignant[e]s" (jugement entrepris, consid. 7b, p. 22). L’autorité de première instance a ainsi relevé que les prévenus avaient transmis le "Mémorandum" 2005 contenant notamment les déclarations des charges - en prenant "le risque de porter atteinte au crédit économique" des parties plaignantes - à un agent immobilier de R_________, forcément dans un rapport de concurrence potentiel avec U_________ et ses sociétés, qui cherchaient à vendre leurs propres immeubles. Le fait que le prévenu Y_________ a refusé de répondre aux questions qui lui ont été posées concernant la constitution d’un droit de préemption en faveur de RR_________, promoteur immobilier de R_________, était révélateur à cet égard. Puis, après avoir exposé, doctrine à l’appui, quelles étaient les conditions d’application de l’art. 2 LCD en tant que clause générale réprimant la concurrence déloyale, le premier juge a estimé que, dans les circonstances de l’espèce, il y avait lieu d’admettre que le comportement des prévenus acquittés, qui ne s’étaient "pas montrés assez prudents dans le traitement de certaines données relevant de la personnalité économique des [parties] plaignant[e]s", se trouvait en lien de causalité avec l’introduction de la procédure pénale et le dommage qui en a résulté en termes de frais de procédure (jugement déféré, consid. 7b/bb, cc et dd, p. 23 ss).</w:t>
      </w:r>
    </w:p>
    <w:p>
      <w:r>
        <w:t>- 41 - Le raisonnement de la juridiction inférieure en vertu duquel les prévenus et appelants auraient contrevenu à l’art. 2 LCD ne convainc pas. Tout d’abord, l’application de cette disposition présuppose que les actes reprochés aux auteurs aient pu objectivement influencer la concurrence (cf. supra, consid. 5.1.2). Or, on discerne mal en quoi la seule communication à des tiers des déclarations des charges relatives aux immeubles appartenant aux parties plaignantes U_________, X_________ SA et W_________ SA, serait de nature à déjouer la libre concurrence qui doit prévaloir dans le domaine de la vente immobilière. En effet, il convient de ne pas perdre de vue que, de toute manière, A_________ ne pouvait que commercialiser ses propres terrains, et non ceux propriétés des parties plaignantes susnommées. En outre, comme on va encore le voir de manière plus détaillée (consid. 5.2.2), il en peut être retenu que la communication à des tiers desdites déclarations des charges, dans les circonstances du cas d’espèce, a porté atteinte au crédit des parties plaignantes. Ensuite, il n’est guère possible, au vu des éléments du dossier, de conclure que les prévenus ont, par la communication du "Mémorandum" 2005 à des acquéreurs potentiels des parcelles de A_________, adopté un comportement trompeur ou contrevenant de toute autre manière aux règles de la bonne foi. La thèse des parties plaignantes selon laquelle les prévenus auraient sciemment cherché à leur nuire, respectivement à favoriser le "principal concurrent de U_________" (cf. appel des parties plaignantes, p. 18), ne repose sur aucun élément probant. A cet égard, les parties plaignantes ne peuvent rien tirer en leur faveur du seul refus du prévenu Y_________ de répondre au point de savoir si A_________ avait bien accordé un droit d’emption à RR_________, au motif que de son point de vue cette question était "hors de propos" (R24, p. 559 s.). Outre le fait que, d’une manière générale, le silence du prévenu ne peut justifier une condamnation aux frais (cf. supra, consid. 5.1.1), l’attitude de l’intéressé s’explique dans le cas particulier, à la lecture du procès-verbal de son audition du 26 janvier 2012 devant le représentant du Ministère public et qui correspond à son troisième interrogatoire, par son agacement à devoir exposer une nouvelle fois les événements (cf. R22, p. 559 : "Au risque de me répéter […]"). Enfin, force est de constater – avec le prévenu et appelant Y_________ (cf. appel, p. 7 ss. spéc. p. 9) –, qu’en retenant, de manière peu affirmative, que le comportement des deux employés de A_________ poursuivis "pourrait […] tomber sous le coup" de la LCD, la juridiction précédente n’a nullement démontré en quoi les intéressés auraient ostensiblement violé une règle de comportement de l’ordre juridique suisse et provoqué ainsi l’ouverture d’une enquête pénale à raison de ce fait. La référence faite</w:t>
      </w:r>
    </w:p>
    <w:p>
      <w:r>
        <w:t>- 42 - par le premier juge à l’arrêt du Tribunal fédéral 6B_439/2013 du 19 juillet 2013 (cf. jugement déféré, consid. 7a/bb p. 21 s.) est d’autant plus inopérante que, dans ce cas d’espèce, l’infraction à la LCD, pour laquelle les prévenus avaient au final été acquittés, était bien à l’origine de l’ouverture d’une enquête à leur égard. Tel n’est pas le cas en l’occurrence, puisque seule la transgression de l’art. 47 aLB a, depuis l’ouverture d’instruction, été reprochée aux prévenus et appelants ; dans ce contexte, la prise en compte d’office par l’autorité de première instance d’une prétendue violation de l’art. 2 LCD, en tant que faute civile, pour fonder la condamnation des prévenus acquittés à devoir assumer les frais de procédure relève d’une motivation insolite (cf. arrêts 5A_795/2009 du 10 mars 2010 consid. 3.1, non publié aux ATF 136 III 123 ; 5A_434/2015 du 21 août 2015 consid. 4.2.1, in SJ 2016 I p. 49 ss).</w:t>
      </w:r>
    </w:p>
    <w:p>
      <w:r>
        <w:rPr>
          <w:b/>
        </w:rPr>
        <w:t>E. 5.2.2</w:t>
      </w:r>
    </w:p>
    <w:p>
      <w:r>
        <w:t>Tout en ayant laissé ouverte la question de savoir si A_________ était légitimée à obtenir les déclarations des charges des parcelles voisines du PAZ "D_________" dont elle n’était pas elle-même propriétaire, la juridiction inférieure a retenu qu’il était par contre certain que les employés de A_________ mis en accusation ne pouvaient pas transmettre la teneur des charges hypothécaires des parties plaignantes sans prendre le risque de porter atteinte au crédit économique de ces dernières (jugement entrepris, consid. 7b/bb p. 23 s.). Les prévenus et appelants Y_________ (appel, ch. 3.2, p. 7) et Z_________ (appel, ch. II/2, p. 9) objectent tous deux que la divulgation d’informations inscrites au registre foncier ne saurait entrer dans le cercle des droits protégés par l’art. 28 CC, déjà du fait de la fiction de connaissance des droits réels ancrée à l’art. 970 al. 4 CC (cf. supra, consid. 3.1.3). Ce point n’a toutefois pas besoin d’être définitivement tranché, dès lors que la prétendue violation de l’art. 28 CC par les prévenus et appelants n’est, selon l’autorité d’appel de céans, pas flagrante pour un autre motif. En effet, il n’est pas établi que la transmission à une dizaine de tiers (cf. supra, consid. 2.1.5) des déclarations des charges, intégrées dans un document confidentiel invitant les destinataires à la discrétion, a porté atteinte aux droits de la personnalité des parties plaignantes U_________, X_________ SA et W_________ SA, en particulier une atteinte à leur crédit (cf. supra, consid. 5.1.3.2). En effet, les déclarations des charges ne font état que de l’ampleur de l’hypothèque grevant les biens-fonds, et non de la dette actuelle à l’égard du créancier hypothécaire, généralement l’établissement bancaire ayant octroyé un prêt pour l’acquisition des parcelles concernées ou le financement de la construction d’édifices sur celles-ci. En d’autres termes, la créance abstraite résultant de l’inscription hypothécaire – qui peut subsister au registre foncier indépendamment</w:t>
      </w:r>
    </w:p>
    <w:p>
      <w:r>
        <w:t>- 43 - du remboursement intégral de la créance garantie, notamment en vue du remploi de l’hypothèque (cf. supra, consid. 5.1.3.2) –, doit être clairement distinguée de la créance causale, à savoir généralement le montant du prêt consenti par un établissement bancaire, et qui peut être bien moindre voire même nul en fonction de l’importance de son amortissement. L’indication du montant de l’hypothèque sur la déclaration des charges ne renseigne ainsi nullement quant aux capacités financières actuelles du propriétaire grevé. Au regard d’un citoyen moyen, la révélation de l’étendue de la créance hypothécaire grevant l’immeuble d’un propriétaire n’est par ailleurs, contrairement à la divulgation d’une liste de mauvais payeurs, pas de nature à porter atteinte à la bonne réputation de l’intéressé. Il est en effet des plus courants dans le monde des affaires, et donc socialement acceptable, qu’une personne (physique ou morale) contracte un emprunt, garanti par une hypothèque, en vue d’acquérir un bien- fonds ou de financer l’édification d’un bâtiment sur celui-ci, alors qu’inversement, l’absence de règlement, en temps utile, d’une facture, peut déjà faire naître quelques doutes quant à la solvabilité du débiteur, respectivement son aptitude et sa volonté à respecter des engagements financiers. Il suit de ce qui précède qu’une atteinte illicite aux droits de la personnalité des parties plaignantes du fait du comportement adopté par les prévenus acquittés n’a pas été indiscutablement mise en lumière.</w:t>
      </w:r>
    </w:p>
    <w:p>
      <w:r>
        <w:rPr>
          <w:b/>
        </w:rPr>
        <w:t>E. 5.2.3</w:t>
      </w:r>
    </w:p>
    <w:p>
      <w:r>
        <w:t>En résumé, le moyen des prévenus et appelants tiré d’une transgression des art. 426 al. 2 et 429 al. 1 CPP fait mouche ; en l’absence de démonstration d’une violation claire par les prévenus d’une norme de comportement à la base de l’ouverture de l’enquête pénale à leur encontre, la juridiction précédente ne pouvait, sans violer la présomption d’innocence dont bénéficiaient les prénommés, mettre les frais de procédure à leur charge en dépit de leur acquittement et leur refuser le versement d’une indemnité pour les dépenses occasionnées par l'exercice raisonnable de leurs droits de procédure. Il convient donc de réformer le jugement de première instance en ce sens, le montant des frais et indemnités étant arrêté concrètement ci-après.</w:t>
      </w:r>
    </w:p>
    <w:p>
      <w:r>
        <w:rPr>
          <w:b/>
        </w:rPr>
        <w:t>E. 6</w:t>
      </w:r>
    </w:p>
    <w:p>
      <w:r>
        <w:t>juin 2016 (qui a duré près de 2h30), ce qui représente au total près d’une trentaine d’heures –, l’indemnité à allouer au prévenu et appelant est arrêtée, pour l’ensemble de ces activités, à 9000 fr., TVA et débours (frais de port et de copie) compris. Vu le sort de l’appel, cette indemnité est, à l’instar des frais de seconde instance cantonale</w:t>
      </w:r>
    </w:p>
    <w:p>
      <w:r>
        <w:t>- 47 - (cf. supra, consid. 6.1.2) mise à la charge des parties plaignantes et appelantes, solidairement entre elles.</w:t>
      </w:r>
    </w:p>
    <w:p>
      <w:r>
        <w:rPr>
          <w:b/>
        </w:rPr>
        <w:t>E. 6.1.1</w:t>
      </w:r>
    </w:p>
    <w:p>
      <w:r>
        <w:t>Dans le cas particulier, aucun des appelants n’a remis en cause la quotité des frais fixés par l’autorité inférieure à concurrence de 4323 fr.60 (3323 fr.60 pour l’activité devant le juge d’instruction, puis le Ministère public [dont 2000 fr. d’émolument et</w:t>
      </w:r>
    </w:p>
    <w:p>
      <w:r>
        <w:t>- 44 - 1323 fr.60 de débours] + 1000 fr. pour l’activité du Tribunal de district [dont 975 fr. d’émolument et 25 fr. de débours]), conformément aux dispositions légales applicables (cf. art. 10, 13 et 22 LTar), de sorte qu’il peut être renvoyé au considérant 7c du premier jugement (p. 26). Compte tenu de la confirmation de l’acquittement des deux prévenus, et de l’admission de leur appel en ce qui concerne la violation de l’art. 426 al. 2 CPP, il se justifie, conformément à la règle générale de l’art. 423 al. 1 CPP et dès lors que les conditions de l’art. 427 CPP ne sont pas réunies, de mettre l’intégralité des frais de première instance à la charge du fisc cantonal.</w:t>
      </w:r>
    </w:p>
    <w:p>
      <w:r>
        <w:rPr>
          <w:b/>
        </w:rPr>
        <w:t>E. 6.1.2</w:t>
      </w:r>
    </w:p>
    <w:p>
      <w:r>
        <w:t>Pour la procédure d'appel devant le Tribunal cantonal, l'émolument est compris entre 380 fr. et 6000 fr. (art. 22 let. f LTar). En l'espèce, vu le degré de difficulté non négligeable de l'affaire, tant en fait qu’en droit, les principes de la couverture des frais et de l'équivalence des prestations, ainsi que la situation financière des parties (art. 13 LTar), ledit émolument – comprenant celui pour la rédaction de l’ordonnance du 4 avril 2016 sur la demande de non-entrée en matière – est arrêté à 1475 fr., montant auquel s’ajoutent 25 fr. de débours pour les services de l’huissier judiciaire (cf. art. 10 al. 2 LTar), soit en définitive 1500 francs. Conformément à l’art. 428 al. 1, 1re phr., CPP, les frais de la procédure de recours sont mis à la charge des parties dans la mesure où elles ont obtenu gain de cause ou succombé. Si, dans le cas particulier, le prévenu et appelant Y_________ a certes vu sa demande de non-entrée en matière (cf. art. 400 al. 3 let. a CPP) écartée selon ordonnance du 4 avril 2016, il n’en demeure pas moins que l’autorité d’appel de céans devait examiner d’office la qualité pour recourir des parties plaignantes, laquelle n’était pas d’emblée évidente. Dans ces circonstances, il ne se justifie pas de faire supporter ne serait-ce qu’une partie des frais de la procédure d’appel au prévenu et appelant Y_________. Parce qu’au final les quatre parties plaignantes et appelantes voient leur recours intégralement rejeté, tant sur le plan pénal que civil, les frais d’appel ne peuvent qu’être mis à leur charge, solidairement entre elles.</w:t>
      </w:r>
    </w:p>
    <w:p>
      <w:r>
        <w:rPr>
          <w:b/>
        </w:rPr>
        <w:t>E. 6.2.1</w:t>
      </w:r>
    </w:p>
    <w:p>
      <w:r>
        <w:t>Le sort des dépens est réglé par les art. 429 ss CPP en première instance et 436 al. 1 CPP en appel. D'une manière générale, les indemnités sont allouées ou mises à la charge des parties dans la mesure où celles-ci ont eu gain de cause ou ont succombé (Mizel/Rétornaz, in Commentaire romand, Code de procédure pénale suisse, Bâle 2011, n. 1 ad art. 436 CPP).</w:t>
      </w:r>
    </w:p>
    <w:p>
      <w:r>
        <w:t>- 45 - Selon l'art. 429 al. 1 let. a CPP, si le prévenu est acquitté totalement ou en partie ou s'il bénéficie d'une ordonnance de classement, il a droit à une indemnité pour les dépenses occasionnées par l'exercice raisonnable de ses droits de procédure. L'art. 432 CPP prévoit quant à lui que le prévenu qui obtient gain de cause peut demander à la partie plaignante une juste indemnité pour les dépenses occasionnées par les conclusions civiles (al. 1)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(cf. Message du 21 décembre 2005 relatif à l'unification du droit de la procédure pénale, in FF 2006 p. 1313 s.).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 cf. ATF 139 IV 45 consid. 1.2). Dans le cas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141 IV 476 consid. 1.1 et 139 IV 45 consid. 1.2).</w:t>
      </w:r>
    </w:p>
    <w:p>
      <w:r>
        <w:rPr>
          <w:b/>
        </w:rPr>
        <w:t>E. 6.2.2.1</w:t>
      </w:r>
    </w:p>
    <w:p>
      <w:r>
        <w:t>Le prévenu et appelé Y_________ voyant son acquittement confirmé et sa condamnation aux frais en application de l’art. 426 al. 2 CPP annulée en instance d’appel, il peut prétendre à l’allocation d’une indemnité pour ses dépenses occasionnées par l'exercice raisonnable de ses droits de procédure (art. 429 al. 1 let. a CP). Conformément à l’art. 27 LTar, les honoraires sont fixés entre un minimum et un maximum prévus par le présent chapitre, d'après la nature et l'importance de la cause, ses difficultés, l'ampleur du travail, le temps utilement consacré par le conseil juridique, et la situation financière de la partie (al. 1) ; les dépens s'entendent TVA comprise</w:t>
      </w:r>
    </w:p>
    <w:p>
      <w:r>
        <w:t>- 46 - (al. 5, 1re phr.). En cas de procédure devant l'autorité pénale, les honoraires sont fixés entre 550 et 5500 fr. pour l’activité devant le Ministère public, entre 550 et 3300 fr. pour l’activité devant le juge de district comme juge unique et entre 1100 et 8800 fr. pour celle devant le Tribunal cantonal en instance d’appel (cf. art. 36 LTar). L’art. 29 al. 1 LTar spécifie toutefois que dans les causes qui ont nécessité un travail particulier, notamment lorsque les moyens de preuve ont été longs et difficiles à réunir ou coordonner, que le dossier de la procédure probatoire a pris une ampleur considérable, que les questions de fait ou de droit ont été spécialement compliquées, l'autorité peut accorder des honoraires d'un montant supérieur à celui prévu par le tarif. Compte tenu de l’activité utilement déployée par le mandataire du prévenu et appelant Y_________ depuis le début de son intervention le 18 mars 2009 (p. 160) – qui a consisté, pour l’essentiel, en l’envoi d’une septantaine de courriers, respectivement courriels, en entretiens avec son client et en la participation aux séances des 19 mai 2009 (1h45 [juge d’instruction]), 20 octobre 2011 (1h30 [Ministère public]), 26 janvier 2012 (1h30 [Ministère public]), 4 juin 2013 (2h15 [Ministère public]), ainsi qu’au débat final du 5 décembre 2013 devant le juge de district (2h35), soit au total une septantaine d’heures –, l’indemnité, TVA comprise et débours selon le décompte produit en premières instance (p. 706), soit 1359 fr.80 (frais de port et de copies, de déplacements), doit être fixée au montant (arrondi) de 21’000 francs. Il n’y a en revanche pas lieu de prendre en considération, contrairement à ce qui ressort des décomptes produits, l’activité déployée en relation avec les recours déposés par les parties plaignantes en cours d’instruction, et qui a déjà donné lieu à l’allocation d’indemnités en faveur du prévenu Y_________ (cf. 150 fr. et 800 fr. devant la Chambre pénale [p. 322 et 490] et 1500 fr. devant le Tribunal fédéral [p. 420]). Vu le sort de la procédure de première instance (cf. supra, consid. 6.1.1), cette indemnité est due par l’Etat du Valais.</w:t>
      </w:r>
    </w:p>
    <w:p>
      <w:r>
        <w:rPr>
          <w:b/>
        </w:rPr>
        <w:t>E. 6.2.2.2</w:t>
      </w:r>
    </w:p>
    <w:p>
      <w:r>
        <w:t>Pour la procédure de seconde instance, eu égard à la fourchette légale (comprise entre 1100 et 8800 fr. ; cf. art. 36 LTar) et aux autres critères posés aux art. 27 ss LTar – en particulier l’activité déployée par son conseil qui a consisté, pour l’essentiel, en l’envoi d’une annonce d’appel, puis d’une déclaration d’appel détaillée et d’une demande de non-entrée en matière ainsi qu’en la participation aux débats du</w:t>
      </w:r>
    </w:p>
    <w:p>
      <w:r>
        <w:rPr>
          <w:b/>
        </w:rPr>
        <w:t>E. 6.2.3.1</w:t>
      </w:r>
    </w:p>
    <w:p>
      <w:r>
        <w:t>Pour les mêmes motifs que ceux exposés ci-dessus (cf. supra, consid. 6.2.2), le prévenu et appelant Z_________ peut prétendre au versement d’une indemnité pour les dépenses occasionnées par l'exercice raisonnable de ses droits de procédure (art. 429 al. 1 let. a CP). Sa mise en cause par l’accusation est toutefois intervenue plus tardivement, puisque l’ouverture d’une instruction à son encontre date du 27 octobre 2011 (p. 540). L’activité utilement déployée par ses avocats successifs depuis le</w:t>
      </w:r>
    </w:p>
    <w:p>
      <w:r>
        <w:rPr>
          <w:b/>
        </w:rPr>
        <w:t>E. 6.2.3.2</w:t>
      </w:r>
    </w:p>
    <w:p>
      <w:r>
        <w:t>En seconde instance, l’activité utilement déployée par le conseil juridique du prévenu et appelant Z_________ a été largement similaire à celle déployée par l’avocat de Y_________ (cf. supra, consid. 6.2.2.2), soit près d’une trentaine d’heures. En conséquence, l’indemnité à allouer au prévenu et appelant Z_________, mise à la charge des quatre parties plaignantes et appelantes, solidairement entre elles, est arrêtée à 9000 fr., TVA et débours compris.</w:t>
      </w:r>
    </w:p>
    <w:p>
      <w:r>
        <w:rPr>
          <w:b/>
        </w:rPr>
        <w:t>E. 6.2.4</w:t>
      </w:r>
    </w:p>
    <w:p>
      <w:r>
        <w:t>Vu, d’une part, le sort réservé à leurs prétentions (art. 433 al. 1 let. a CPP a contrario) – tant sur le plan pénal que civil –, et, d’autre part, l’absence de condamnation des prévenus aux frais en application de l’art. 426 al. 2 CPP (cf. art. 433 al. 1 let. b CPP), les parties plaignantes ne peuvent que supporter leurs propres frais d’intervention en justice, en première comme en seconde instances cantonales.</w:t>
      </w:r>
    </w:p>
    <w:p>
      <w:r>
        <w:rPr>
          <w:b/>
        </w:rPr>
        <w:t>E. 7</w:t>
      </w:r>
    </w:p>
    <w:p>
      <w:r>
        <w:t>décembre 2011 (Me FFF_________ [p. 548 ss], puis Me P_________) a consisté en l’envoi d’une dizaine de courriers, en la participation aux séances des 26 janvier 2012 (1h30 [Ministère public]), 4 juin 2013 (2h15 [Ministère public]), ainsi qu’au débat final du 5 décembre 2013 devant le juge de district (2h35), et peut être évaluée à environ 40 heures. Partant, l’indemnité, TVA et débours (selon le décompte déposé, dos. p. 729) compris, est fixée à 12’000 francs. Vu le sort de l’action pénale en première instance, cette indemnité est mise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